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82E7D" w14:textId="7E15990D" w:rsidR="008331BB" w:rsidRPr="00DA12F7" w:rsidRDefault="008331BB" w:rsidP="008331BB">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Pr>
          <w:rFonts w:ascii="Arial" w:hAnsi="Arial" w:cs="Arial"/>
          <w:b/>
          <w:sz w:val="24"/>
        </w:rPr>
        <w:t>17</w:t>
      </w:r>
      <w:r w:rsidR="00C67258">
        <w:rPr>
          <w:rFonts w:ascii="Arial" w:hAnsi="Arial" w:cs="Arial"/>
          <w:b/>
          <w:sz w:val="24"/>
        </w:rPr>
        <w:t>11183</w:t>
      </w:r>
    </w:p>
    <w:p w14:paraId="6FEC63D3" w14:textId="77777777" w:rsidR="008331BB" w:rsidRPr="00DA12F7" w:rsidRDefault="008331BB" w:rsidP="008331BB">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ABE7D80" w14:textId="77777777" w:rsidR="008331BB" w:rsidRPr="00DA12F7" w:rsidRDefault="008331BB" w:rsidP="008331BB">
      <w:pPr>
        <w:rPr>
          <w:rFonts w:ascii="Arial" w:hAnsi="Arial" w:cs="Arial"/>
          <w:b/>
          <w:sz w:val="24"/>
          <w:szCs w:val="24"/>
        </w:rPr>
      </w:pPr>
      <w:r>
        <w:rPr>
          <w:rFonts w:ascii="Arial" w:hAnsi="Arial" w:cs="Arial"/>
          <w:b/>
          <w:sz w:val="24"/>
          <w:szCs w:val="24"/>
        </w:rPr>
        <w:t>Qingdao, P.R. China</w:t>
      </w:r>
    </w:p>
    <w:p w14:paraId="43B7F87B" w14:textId="77777777" w:rsidR="0068226B" w:rsidRPr="000A64D8" w:rsidRDefault="0068226B" w:rsidP="00480B03">
      <w:pPr>
        <w:pStyle w:val="Footer"/>
        <w:jc w:val="both"/>
        <w:rPr>
          <w:noProof w:val="0"/>
        </w:rPr>
      </w:pPr>
    </w:p>
    <w:p w14:paraId="43B7F87C" w14:textId="3D04049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10780">
        <w:rPr>
          <w:rFonts w:ascii="Arial" w:hAnsi="Arial"/>
          <w:sz w:val="24"/>
        </w:rPr>
        <w:t>5</w:t>
      </w:r>
      <w:r w:rsidR="00955C57">
        <w:rPr>
          <w:rFonts w:ascii="Arial" w:hAnsi="Arial"/>
          <w:sz w:val="24"/>
        </w:rPr>
        <w:t>.1.3.1.</w:t>
      </w:r>
      <w:r w:rsidR="00F10780">
        <w:rPr>
          <w:rFonts w:ascii="Arial" w:hAnsi="Arial"/>
          <w:sz w:val="24"/>
        </w:rPr>
        <w:t>4.</w:t>
      </w:r>
      <w:r w:rsidR="00E77484">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805EB3D"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77484">
        <w:rPr>
          <w:rFonts w:ascii="Arial" w:hAnsi="Arial"/>
          <w:sz w:val="24"/>
          <w:szCs w:val="24"/>
        </w:rPr>
        <w:t>Structure</w:t>
      </w:r>
      <w:r w:rsidR="00955C57">
        <w:rPr>
          <w:rFonts w:ascii="Arial" w:hAnsi="Arial"/>
          <w:sz w:val="24"/>
          <w:szCs w:val="24"/>
        </w:rPr>
        <w:t xml:space="preserve"> of group common PDCCH</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A63B643" w14:textId="181FE260" w:rsidR="00245E49" w:rsidRDefault="00245E49" w:rsidP="00245E49">
      <w:pPr>
        <w:spacing w:after="120"/>
        <w:rPr>
          <w:szCs w:val="22"/>
        </w:rPr>
      </w:pPr>
      <w:r>
        <w:rPr>
          <w:szCs w:val="22"/>
        </w:rPr>
        <w:t>Related to the contents of group common PDCCH</w:t>
      </w:r>
      <w:r w:rsidR="00B0550D">
        <w:rPr>
          <w:szCs w:val="22"/>
        </w:rPr>
        <w:t xml:space="preserve"> (GC PDCCH)</w:t>
      </w:r>
      <w:r>
        <w:rPr>
          <w:szCs w:val="22"/>
        </w:rPr>
        <w:t xml:space="preserve">, the following agreements were made for ‘slot format related information’ (SFI). In this contribution, </w:t>
      </w:r>
      <w:r w:rsidR="00E35029">
        <w:rPr>
          <w:szCs w:val="22"/>
        </w:rPr>
        <w:t>we discuss the structure of group common PDCCH carrying the SFI.</w:t>
      </w:r>
    </w:p>
    <w:p w14:paraId="4E540361" w14:textId="77777777" w:rsidR="00245E49" w:rsidRPr="000E0D30" w:rsidRDefault="00245E49" w:rsidP="00245E49">
      <w:pPr>
        <w:rPr>
          <w:b/>
          <w:u w:val="single"/>
          <w:lang w:eastAsia="ja-JP"/>
        </w:rPr>
      </w:pPr>
      <w:r w:rsidRPr="000E0D30">
        <w:rPr>
          <w:b/>
          <w:u w:val="single"/>
          <w:lang w:eastAsia="ja-JP"/>
        </w:rPr>
        <w:t>RAN1 NR AdHoc</w:t>
      </w:r>
      <w:r>
        <w:rPr>
          <w:b/>
          <w:u w:val="single"/>
          <w:lang w:eastAsia="ja-JP"/>
        </w:rPr>
        <w:t>#1</w:t>
      </w:r>
    </w:p>
    <w:p w14:paraId="08126E51" w14:textId="77777777" w:rsidR="00245E49" w:rsidRPr="00476354" w:rsidRDefault="00245E49" w:rsidP="00245E49">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461ED73E" w14:textId="77777777" w:rsidR="00245E49" w:rsidRPr="00476354" w:rsidRDefault="00245E49" w:rsidP="00245E49">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83439BF" w14:textId="77777777" w:rsidR="00245E49" w:rsidRPr="00476354" w:rsidRDefault="00245E49" w:rsidP="00245E49">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76980E27" w14:textId="77777777" w:rsidR="00245E49" w:rsidRDefault="00245E49" w:rsidP="00245E49">
      <w:pPr>
        <w:pStyle w:val="BodyText"/>
        <w:numPr>
          <w:ilvl w:val="1"/>
          <w:numId w:val="9"/>
        </w:numPr>
        <w:overflowPunct/>
        <w:autoSpaceDE/>
        <w:autoSpaceDN/>
        <w:adjustRightInd/>
        <w:spacing w:after="240"/>
        <w:textAlignment w:val="auto"/>
        <w:rPr>
          <w:szCs w:val="20"/>
          <w:lang w:eastAsia="ja-JP"/>
        </w:rPr>
      </w:pPr>
      <w:r w:rsidRPr="00476354">
        <w:rPr>
          <w:szCs w:val="20"/>
          <w:lang w:eastAsia="ja-JP"/>
        </w:rPr>
        <w:t>FFS: if ‘other’ can be subdivided into ‘blank’, ‘sidelink’, etc</w:t>
      </w:r>
    </w:p>
    <w:p w14:paraId="4263F018" w14:textId="77777777" w:rsidR="00245E49" w:rsidRPr="000E0D30" w:rsidRDefault="00245E49" w:rsidP="00245E49">
      <w:pPr>
        <w:rPr>
          <w:b/>
          <w:u w:val="single"/>
          <w:lang w:eastAsia="ja-JP"/>
        </w:rPr>
      </w:pPr>
      <w:r w:rsidRPr="000E0D30">
        <w:rPr>
          <w:b/>
          <w:u w:val="single"/>
          <w:lang w:eastAsia="ja-JP"/>
        </w:rPr>
        <w:t>RAN1#89</w:t>
      </w:r>
    </w:p>
    <w:p w14:paraId="0EFEA15D" w14:textId="77777777" w:rsidR="00245E49" w:rsidRPr="00347BD4" w:rsidRDefault="00245E49" w:rsidP="00245E49">
      <w:pPr>
        <w:rPr>
          <w:rFonts w:eastAsia="MS Mincho"/>
          <w:b/>
          <w:u w:val="single"/>
          <w:lang w:eastAsia="ja-JP"/>
        </w:rPr>
      </w:pPr>
      <w:r w:rsidRPr="001E64F7">
        <w:rPr>
          <w:rFonts w:eastAsia="MS Mincho" w:hint="eastAsia"/>
          <w:b/>
          <w:highlight w:val="green"/>
          <w:u w:val="single"/>
          <w:lang w:eastAsia="ja-JP"/>
        </w:rPr>
        <w:t>Agreements:</w:t>
      </w:r>
    </w:p>
    <w:p w14:paraId="59811BB0" w14:textId="77777777" w:rsidR="00245E49" w:rsidRPr="00347BD4" w:rsidRDefault="00245E49" w:rsidP="00245E49">
      <w:pPr>
        <w:numPr>
          <w:ilvl w:val="0"/>
          <w:numId w:val="14"/>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491023E6"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3E1D27"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68F1188A"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details for UE behaviour</w:t>
      </w:r>
    </w:p>
    <w:p w14:paraId="044748E4" w14:textId="77777777" w:rsidR="00245E49" w:rsidRPr="00347BD4" w:rsidRDefault="00245E49" w:rsidP="00245E49">
      <w:pPr>
        <w:numPr>
          <w:ilvl w:val="0"/>
          <w:numId w:val="14"/>
        </w:numPr>
        <w:overflowPunct/>
        <w:autoSpaceDE/>
        <w:autoSpaceDN/>
        <w:adjustRightInd/>
        <w:spacing w:after="240"/>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3DC415BD" w14:textId="77777777" w:rsidR="00245E49" w:rsidRPr="00B842BE" w:rsidRDefault="00245E49" w:rsidP="00245E49">
      <w:pPr>
        <w:rPr>
          <w:rFonts w:eastAsia="MS Mincho"/>
          <w:color w:val="0070C0"/>
          <w:lang w:eastAsia="ja-JP"/>
        </w:rPr>
      </w:pPr>
      <w:r w:rsidRPr="002C4D2D">
        <w:rPr>
          <w:rFonts w:eastAsia="MS Mincho" w:hint="eastAsia"/>
          <w:b/>
          <w:highlight w:val="green"/>
          <w:u w:val="single"/>
          <w:lang w:eastAsia="ja-JP"/>
        </w:rPr>
        <w:t>Agreements:</w:t>
      </w:r>
    </w:p>
    <w:p w14:paraId="2682D55E" w14:textId="77777777" w:rsidR="00245E49" w:rsidRPr="002C4D2D" w:rsidRDefault="00245E49" w:rsidP="00245E49">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04404B99"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31A0D4E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0214246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9C4E9F1"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FFS: ‘Empty’</w:t>
      </w:r>
    </w:p>
    <w:p w14:paraId="724FA5AE"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749400F7" w14:textId="77777777" w:rsidR="00245E49" w:rsidRDefault="00245E49" w:rsidP="00245E49">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0B3BE98D" w14:textId="0E464008" w:rsidR="0044173B" w:rsidRDefault="00E47DF6" w:rsidP="0044173B">
      <w:pPr>
        <w:pStyle w:val="Heading1"/>
      </w:pPr>
      <w:r>
        <w:t>Structure of Group Common PDCCH</w:t>
      </w:r>
    </w:p>
    <w:p w14:paraId="3813214A" w14:textId="2C35D1C9" w:rsidR="00B0550D" w:rsidRPr="00B0550D" w:rsidRDefault="00B0550D" w:rsidP="00B0550D">
      <w:pPr>
        <w:rPr>
          <w:lang w:val="en-GB"/>
        </w:rPr>
      </w:pPr>
      <w:r>
        <w:rPr>
          <w:lang w:val="en-GB"/>
        </w:rPr>
        <w:t>For structure of GC PDCCH, we can consider two different aspects: encoding and resource mapping.</w:t>
      </w:r>
    </w:p>
    <w:p w14:paraId="53B5C69C" w14:textId="24BD2DD1" w:rsidR="00FF40CB" w:rsidRPr="00FF40CB" w:rsidRDefault="00E47DF6" w:rsidP="005408AA">
      <w:pPr>
        <w:pStyle w:val="Heading2"/>
      </w:pPr>
      <w:r>
        <w:t>Encoding</w:t>
      </w:r>
    </w:p>
    <w:p w14:paraId="481B4533" w14:textId="74539DF9" w:rsidR="00A25BD5" w:rsidRDefault="00B0550D" w:rsidP="00E47DF6">
      <w:r>
        <w:t xml:space="preserve">Encoding including channel coding, the need for CRC and etc. can be separately discussed from the resource mapping. One immediate option is the reuse of regular DL control channel (PDCCH) even for GC PDCCH. However, </w:t>
      </w:r>
      <w:r w:rsidR="00DF662F">
        <w:t xml:space="preserve">it should be noted that the coding efficiency will be dependent on the size of the payload for GC PDCCH. This aspect is already captured in the agreement during RAN1#88bis. Also it is beneficial to have smaller payload as much as possible to </w:t>
      </w:r>
      <w:r w:rsidR="00DF662F">
        <w:lastRenderedPageBreak/>
        <w:t>minimize the overhead of this channel. Therefore, it is necessary to first decide the contents of GC PDCCH and decide the payload size. GC PDCCH contents and how to carry the SFI is discussed in detail in [1]. It is proposed to discuss the encoding of GC PDCCH after the finalization of GC PDCCH contents and corresponding payload size.</w:t>
      </w:r>
    </w:p>
    <w:p w14:paraId="41DF06CC" w14:textId="77777777" w:rsidR="00DF662F" w:rsidRPr="004200DE" w:rsidRDefault="00DF662F" w:rsidP="00DF662F">
      <w:pPr>
        <w:rPr>
          <w:b/>
          <w:u w:val="single"/>
          <w:lang w:eastAsia="x-none"/>
        </w:rPr>
      </w:pPr>
      <w:r w:rsidRPr="004200DE">
        <w:rPr>
          <w:b/>
          <w:u w:val="single"/>
          <w:lang w:eastAsia="x-none"/>
        </w:rPr>
        <w:t>RAN1#88bis</w:t>
      </w:r>
    </w:p>
    <w:p w14:paraId="24149741" w14:textId="77777777" w:rsidR="00DF662F" w:rsidRDefault="00DF662F" w:rsidP="00DF662F">
      <w:pPr>
        <w:rPr>
          <w:rFonts w:eastAsia="MS Mincho"/>
          <w:b/>
          <w:highlight w:val="green"/>
          <w:u w:val="single"/>
          <w:lang w:eastAsia="ja-JP"/>
        </w:rPr>
      </w:pPr>
      <w:r>
        <w:rPr>
          <w:rFonts w:eastAsia="MS Mincho"/>
          <w:b/>
          <w:highlight w:val="green"/>
          <w:u w:val="single"/>
          <w:lang w:eastAsia="ja-JP"/>
        </w:rPr>
        <w:t xml:space="preserve">Agreement: </w:t>
      </w:r>
    </w:p>
    <w:p w14:paraId="44FB559B" w14:textId="77777777" w:rsidR="00DF662F" w:rsidRDefault="00DF662F" w:rsidP="00DF662F">
      <w:pPr>
        <w:numPr>
          <w:ilvl w:val="0"/>
          <w:numId w:val="17"/>
        </w:numPr>
        <w:overflowPunct/>
        <w:autoSpaceDE/>
        <w:autoSpaceDN/>
        <w:adjustRightInd/>
        <w:spacing w:after="0"/>
        <w:textAlignment w:val="auto"/>
        <w:rPr>
          <w:rFonts w:eastAsia="MS Mincho"/>
          <w:lang w:eastAsia="ja-JP"/>
        </w:rPr>
      </w:pPr>
      <w:r>
        <w:rPr>
          <w:rFonts w:eastAsia="MS Mincho"/>
          <w:lang w:eastAsia="ja-JP"/>
        </w:rPr>
        <w:t>K=1 (if channel coding is applied):</w:t>
      </w:r>
    </w:p>
    <w:p w14:paraId="790FEF9A" w14:textId="77777777" w:rsidR="00DF662F" w:rsidRDefault="00DF662F" w:rsidP="00DF662F">
      <w:pPr>
        <w:numPr>
          <w:ilvl w:val="1"/>
          <w:numId w:val="17"/>
        </w:numPr>
        <w:overflowPunct/>
        <w:autoSpaceDE/>
        <w:autoSpaceDN/>
        <w:adjustRightInd/>
        <w:spacing w:after="0"/>
        <w:textAlignment w:val="auto"/>
        <w:rPr>
          <w:rFonts w:eastAsia="MS Mincho"/>
          <w:lang w:eastAsia="ja-JP"/>
        </w:rPr>
      </w:pPr>
      <w:r>
        <w:rPr>
          <w:rFonts w:eastAsia="MS Mincho"/>
          <w:lang w:eastAsia="ja-JP"/>
        </w:rPr>
        <w:t>Repetition code</w:t>
      </w:r>
    </w:p>
    <w:p w14:paraId="7367CE0B" w14:textId="77777777" w:rsidR="00DF662F" w:rsidRDefault="00DF662F" w:rsidP="00DF662F">
      <w:pPr>
        <w:numPr>
          <w:ilvl w:val="0"/>
          <w:numId w:val="17"/>
        </w:numPr>
        <w:overflowPunct/>
        <w:autoSpaceDE/>
        <w:autoSpaceDN/>
        <w:adjustRightInd/>
        <w:spacing w:after="0"/>
        <w:textAlignment w:val="auto"/>
        <w:rPr>
          <w:rFonts w:eastAsia="MS Mincho"/>
          <w:lang w:eastAsia="ja-JP"/>
        </w:rPr>
      </w:pPr>
      <w:r>
        <w:rPr>
          <w:rFonts w:eastAsia="MS Mincho"/>
          <w:lang w:eastAsia="ja-JP"/>
        </w:rPr>
        <w:t>K=2 (if channel coding is applied):</w:t>
      </w:r>
    </w:p>
    <w:p w14:paraId="705879CC" w14:textId="77777777" w:rsidR="00DF662F" w:rsidRDefault="00DF662F" w:rsidP="00DF662F">
      <w:pPr>
        <w:numPr>
          <w:ilvl w:val="1"/>
          <w:numId w:val="17"/>
        </w:numPr>
        <w:overflowPunct/>
        <w:autoSpaceDE/>
        <w:autoSpaceDN/>
        <w:adjustRightInd/>
        <w:spacing w:after="0"/>
        <w:textAlignment w:val="auto"/>
        <w:rPr>
          <w:rFonts w:eastAsia="MS Mincho"/>
          <w:lang w:eastAsia="ja-JP"/>
        </w:rPr>
      </w:pPr>
      <w:r>
        <w:rPr>
          <w:rFonts w:eastAsia="MS Mincho"/>
          <w:lang w:eastAsia="ja-JP"/>
        </w:rPr>
        <w:t>Simplex code</w:t>
      </w:r>
    </w:p>
    <w:p w14:paraId="0D45866A" w14:textId="77777777" w:rsidR="00DF662F" w:rsidRDefault="00DF662F" w:rsidP="00DF662F">
      <w:pPr>
        <w:numPr>
          <w:ilvl w:val="0"/>
          <w:numId w:val="17"/>
        </w:numPr>
        <w:overflowPunct/>
        <w:autoSpaceDE/>
        <w:autoSpaceDN/>
        <w:adjustRightInd/>
        <w:spacing w:after="0"/>
        <w:textAlignment w:val="auto"/>
        <w:rPr>
          <w:rFonts w:eastAsia="MS Mincho"/>
          <w:lang w:eastAsia="ja-JP"/>
        </w:rPr>
      </w:pPr>
      <w:r>
        <w:rPr>
          <w:rFonts w:eastAsia="MS Mincho"/>
          <w:lang w:eastAsia="ja-JP"/>
        </w:rPr>
        <w:t>3&lt;=K&lt;=11:</w:t>
      </w:r>
    </w:p>
    <w:p w14:paraId="3F425B5D" w14:textId="77777777" w:rsidR="00DF662F" w:rsidRDefault="00DF662F" w:rsidP="00DF662F">
      <w:pPr>
        <w:numPr>
          <w:ilvl w:val="1"/>
          <w:numId w:val="17"/>
        </w:numPr>
        <w:overflowPunct/>
        <w:autoSpaceDE/>
        <w:autoSpaceDN/>
        <w:adjustRightInd/>
        <w:spacing w:after="0"/>
        <w:textAlignment w:val="auto"/>
        <w:rPr>
          <w:rFonts w:eastAsia="MS Mincho"/>
          <w:lang w:eastAsia="ja-JP"/>
        </w:rPr>
      </w:pPr>
      <w:r>
        <w:rPr>
          <w:rFonts w:eastAsia="MS Mincho"/>
          <w:lang w:eastAsia="ja-JP"/>
        </w:rPr>
        <w:t>LTE RM code</w:t>
      </w:r>
    </w:p>
    <w:p w14:paraId="6FB7C3DE" w14:textId="77777777" w:rsidR="00DF662F" w:rsidRDefault="00DF662F" w:rsidP="00DF662F">
      <w:pPr>
        <w:numPr>
          <w:ilvl w:val="2"/>
          <w:numId w:val="17"/>
        </w:numPr>
        <w:overflowPunct/>
        <w:autoSpaceDE/>
        <w:autoSpaceDN/>
        <w:adjustRightInd/>
        <w:spacing w:after="0"/>
        <w:textAlignment w:val="auto"/>
        <w:rPr>
          <w:rFonts w:eastAsia="MS Mincho"/>
          <w:lang w:eastAsia="ja-JP"/>
        </w:rPr>
      </w:pPr>
      <w:r>
        <w:rPr>
          <w:rFonts w:eastAsia="MS Mincho"/>
          <w:lang w:eastAsia="ja-JP"/>
        </w:rPr>
        <w:t>Note that if NR requires a codeword size N that is not supported by the LTE RM code, then the LTE RM code will be extended by repetition as in LTE</w:t>
      </w:r>
    </w:p>
    <w:p w14:paraId="77E2079E" w14:textId="77777777" w:rsidR="00DF662F" w:rsidRDefault="00DF662F" w:rsidP="00DF662F">
      <w:pPr>
        <w:numPr>
          <w:ilvl w:val="0"/>
          <w:numId w:val="17"/>
        </w:numPr>
        <w:overflowPunct/>
        <w:autoSpaceDE/>
        <w:autoSpaceDN/>
        <w:adjustRightInd/>
        <w:spacing w:after="0"/>
        <w:textAlignment w:val="auto"/>
        <w:rPr>
          <w:rFonts w:eastAsia="MS Mincho"/>
          <w:lang w:eastAsia="ja-JP"/>
        </w:rPr>
      </w:pPr>
      <w:r>
        <w:rPr>
          <w:rFonts w:eastAsia="MS Mincho"/>
          <w:lang w:eastAsia="ja-JP"/>
        </w:rPr>
        <w:t>12&lt;=K:</w:t>
      </w:r>
    </w:p>
    <w:p w14:paraId="354B2EDC" w14:textId="77777777" w:rsidR="00DF662F" w:rsidRDefault="00DF662F" w:rsidP="00DF662F">
      <w:pPr>
        <w:numPr>
          <w:ilvl w:val="1"/>
          <w:numId w:val="17"/>
        </w:numPr>
        <w:overflowPunct/>
        <w:autoSpaceDE/>
        <w:autoSpaceDN/>
        <w:adjustRightInd/>
        <w:spacing w:after="240"/>
        <w:textAlignment w:val="auto"/>
        <w:rPr>
          <w:rFonts w:eastAsia="MS Mincho"/>
          <w:lang w:eastAsia="ja-JP"/>
        </w:rPr>
      </w:pPr>
      <w:r>
        <w:rPr>
          <w:rFonts w:eastAsia="MS Mincho"/>
          <w:lang w:eastAsia="ja-JP"/>
        </w:rPr>
        <w:t>Polar code (single design for all control information sizes, except for possible omission of CRC bits for payloads &lt;= ~22 bits)</w:t>
      </w:r>
    </w:p>
    <w:p w14:paraId="61BE59A8" w14:textId="6A6F7378" w:rsidR="00DF662F" w:rsidRPr="00E47DF6" w:rsidRDefault="00DF662F" w:rsidP="00E47DF6">
      <w:r w:rsidRPr="00A3651A">
        <w:rPr>
          <w:b/>
          <w:u w:val="single"/>
        </w:rPr>
        <w:t xml:space="preserve">Proposal </w:t>
      </w:r>
      <w:r>
        <w:rPr>
          <w:b/>
          <w:u w:val="single"/>
        </w:rPr>
        <w:t>1</w:t>
      </w:r>
      <w:r>
        <w:t>: GC PDCCH encoding discussion is deferred till the contents and the number of payload for GC PDCCH are finalized.</w:t>
      </w:r>
    </w:p>
    <w:p w14:paraId="7E3FD913" w14:textId="7B83DB0C" w:rsidR="00A25BD5" w:rsidRPr="00A25BD5" w:rsidRDefault="00E47DF6" w:rsidP="005408AA">
      <w:pPr>
        <w:pStyle w:val="Heading2"/>
      </w:pPr>
      <w:r>
        <w:t>Resource Mapping</w:t>
      </w:r>
    </w:p>
    <w:p w14:paraId="330845E9" w14:textId="489DF32F" w:rsidR="00FE53E8" w:rsidRDefault="0068079C" w:rsidP="001D23A3">
      <w:pPr>
        <w:rPr>
          <w:lang w:val="en-GB"/>
        </w:rPr>
      </w:pPr>
      <w:r>
        <w:rPr>
          <w:lang w:val="en-GB"/>
        </w:rPr>
        <w:t xml:space="preserve">Resource mapping for GC PDCCH can be discussed independent of the payload size for GC PDCCH, although it is also </w:t>
      </w:r>
      <w:r w:rsidR="00717300">
        <w:rPr>
          <w:lang w:val="en-GB"/>
        </w:rPr>
        <w:t xml:space="preserve">partly </w:t>
      </w:r>
      <w:r>
        <w:rPr>
          <w:lang w:val="en-GB"/>
        </w:rPr>
        <w:t xml:space="preserve">related. </w:t>
      </w:r>
      <w:r w:rsidR="00717300">
        <w:rPr>
          <w:lang w:val="en-GB"/>
        </w:rPr>
        <w:t>We can consider two approaches: one is to reuse the regular PDCCH resource mapping, and the other is to adopt independent resource mappin</w:t>
      </w:r>
      <w:r w:rsidR="00156615">
        <w:rPr>
          <w:lang w:val="en-GB"/>
        </w:rPr>
        <w:t>g scheme similar to LTE PCFICH.</w:t>
      </w:r>
    </w:p>
    <w:p w14:paraId="6E8734E7" w14:textId="419363C0" w:rsidR="00156615" w:rsidRDefault="00156615" w:rsidP="001D23A3">
      <w:pPr>
        <w:rPr>
          <w:lang w:val="en-GB"/>
        </w:rPr>
      </w:pPr>
      <w:r>
        <w:rPr>
          <w:lang w:val="en-GB"/>
        </w:rPr>
        <w:t>NR supports many flexible way of configuring CORESETs (a single symbol CORESET vs. multi-symbol CORESET, time-first CCE-to-REG mapping vs. frequency-first CCE-to-REG mapping, Localized mapping vs. Distributed mapping and etc.). DM RS for control channel is also contained within CCEs for PDCCH transmission unlike LTE where CRS is universally transmitted over the system bandwidth. If GC PDCCH has independent resource mapping similar to LTE PCFICH, it may restrict the use of certain CORESET configurability or at least complicate the design including RS location. Therefore, it is proposed to share the same resource mapping for GC PDCCH as the regular PDCCH. This includes the CORESET, CCE-to-REG mapping, PDCCH-to-CCE mapping</w:t>
      </w:r>
      <w:r w:rsidR="005B05DB">
        <w:rPr>
          <w:lang w:val="en-GB"/>
        </w:rPr>
        <w:t>,</w:t>
      </w:r>
      <w:r>
        <w:rPr>
          <w:lang w:val="en-GB"/>
        </w:rPr>
        <w:t xml:space="preserve"> RS placement</w:t>
      </w:r>
      <w:r w:rsidR="005B05DB">
        <w:rPr>
          <w:lang w:val="en-GB"/>
        </w:rPr>
        <w:t xml:space="preserve"> and Tx diversity</w:t>
      </w:r>
      <w:r>
        <w:rPr>
          <w:lang w:val="en-GB"/>
        </w:rPr>
        <w:t>. GC PDCCH may have some constraints in terms of AL and blind hypotheses for faster decoding.</w:t>
      </w:r>
    </w:p>
    <w:p w14:paraId="3E7FDD10" w14:textId="0B08D1E6" w:rsidR="00156615" w:rsidRPr="00156615" w:rsidRDefault="00156615" w:rsidP="001D23A3">
      <w:r w:rsidRPr="00A3651A">
        <w:rPr>
          <w:b/>
          <w:u w:val="single"/>
        </w:rPr>
        <w:t xml:space="preserve">Proposal </w:t>
      </w:r>
      <w:r>
        <w:rPr>
          <w:b/>
          <w:u w:val="single"/>
        </w:rPr>
        <w:t>2</w:t>
      </w:r>
      <w:r>
        <w:t>:</w:t>
      </w:r>
      <w:r w:rsidR="005B05DB">
        <w:t xml:space="preserve"> GC PDCCH shares the same resource mapping as the regular PDCCH, including the CORESET, CCE-to-REG-mapping, PDCCH-to-CCE mapping, RS placement and Tx diversity.</w:t>
      </w:r>
    </w:p>
    <w:p w14:paraId="56D28D4B" w14:textId="26018A49" w:rsidR="00067CA8" w:rsidRPr="00226FE2" w:rsidRDefault="004503F9" w:rsidP="00067CA8">
      <w:pPr>
        <w:pStyle w:val="Heading1"/>
        <w:rPr>
          <w:lang w:eastAsia="zh-CN"/>
        </w:rPr>
      </w:pPr>
      <w:r>
        <w:rPr>
          <w:lang w:eastAsia="zh-CN"/>
        </w:rPr>
        <w:t>Conclusions</w:t>
      </w:r>
    </w:p>
    <w:p w14:paraId="6592B52B" w14:textId="0E1BB57A" w:rsidR="005B05DB" w:rsidRDefault="005B05DB" w:rsidP="005B05DB">
      <w:pPr>
        <w:spacing w:after="120"/>
        <w:rPr>
          <w:szCs w:val="22"/>
        </w:rPr>
      </w:pPr>
      <w:r>
        <w:rPr>
          <w:szCs w:val="22"/>
        </w:rPr>
        <w:t>In this contribution, we have discussed the structure of group common PDCCH carrying the SFI. The following proposals have been made:</w:t>
      </w:r>
    </w:p>
    <w:p w14:paraId="68C5DB25" w14:textId="77777777" w:rsidR="005B05DB" w:rsidRPr="00E47DF6" w:rsidRDefault="005B05DB" w:rsidP="005B05DB">
      <w:r w:rsidRPr="00A3651A">
        <w:rPr>
          <w:b/>
          <w:u w:val="single"/>
        </w:rPr>
        <w:t xml:space="preserve">Proposal </w:t>
      </w:r>
      <w:r>
        <w:rPr>
          <w:b/>
          <w:u w:val="single"/>
        </w:rPr>
        <w:t>1</w:t>
      </w:r>
      <w:r>
        <w:t>: GC PDCCH encoding discussion is deferred till the contents and the number of payload for GC PDCCH are finalized.</w:t>
      </w:r>
    </w:p>
    <w:p w14:paraId="580DB860" w14:textId="07F3C878" w:rsidR="005B05DB" w:rsidRPr="005B05DB" w:rsidRDefault="005B05DB" w:rsidP="005B05DB">
      <w:r w:rsidRPr="00A3651A">
        <w:rPr>
          <w:b/>
          <w:u w:val="single"/>
        </w:rPr>
        <w:t xml:space="preserve">Proposal </w:t>
      </w:r>
      <w:r>
        <w:rPr>
          <w:b/>
          <w:u w:val="single"/>
        </w:rPr>
        <w:t>2</w:t>
      </w:r>
      <w:r>
        <w:t>: GC PDCCH shares the same resource mapping as the regular PDCCH, including the CORESET, CCE-to-REG-mapping, PDCCH-to-CCE mapping, RS placement and Tx diversity.</w:t>
      </w:r>
    </w:p>
    <w:p w14:paraId="163739A4" w14:textId="46E2A1A3" w:rsidR="00B0550D" w:rsidRPr="00226FE2" w:rsidRDefault="00B0550D" w:rsidP="00B0550D">
      <w:pPr>
        <w:pStyle w:val="Heading1"/>
        <w:rPr>
          <w:lang w:eastAsia="zh-CN"/>
        </w:rPr>
      </w:pPr>
      <w:r>
        <w:rPr>
          <w:lang w:eastAsia="zh-CN"/>
        </w:rPr>
        <w:t>References</w:t>
      </w:r>
    </w:p>
    <w:p w14:paraId="5FAAFB4E" w14:textId="2D5ED397" w:rsidR="00B0550D" w:rsidRDefault="00B0550D" w:rsidP="00B0550D">
      <w:pPr>
        <w:rPr>
          <w:szCs w:val="22"/>
        </w:rPr>
      </w:pPr>
      <w:r>
        <w:rPr>
          <w:szCs w:val="22"/>
        </w:rPr>
        <w:t>[1] R1-1711184, “Contents of group common PDCCH”, Qualcomm Incorporated</w:t>
      </w:r>
    </w:p>
    <w:p w14:paraId="34DCA6F6" w14:textId="77777777" w:rsidR="00B0550D" w:rsidRDefault="00B0550D" w:rsidP="00B0550D"/>
    <w:p w14:paraId="27025F22" w14:textId="147E6C79" w:rsidR="00CF4022" w:rsidRDefault="00CF4022" w:rsidP="00CF4022"/>
    <w:sectPr w:rsidR="00CF4022"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D53A2" w14:textId="77777777" w:rsidR="000669DA" w:rsidRDefault="000669DA">
      <w:r>
        <w:separator/>
      </w:r>
    </w:p>
  </w:endnote>
  <w:endnote w:type="continuationSeparator" w:id="0">
    <w:p w14:paraId="62BC2613" w14:textId="77777777" w:rsidR="000669DA" w:rsidRDefault="000669DA">
      <w:r>
        <w:continuationSeparator/>
      </w:r>
    </w:p>
  </w:endnote>
  <w:endnote w:type="continuationNotice" w:id="1">
    <w:p w14:paraId="0F526532" w14:textId="77777777" w:rsidR="000669DA" w:rsidRDefault="00066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C72B80" w:rsidRDefault="00C72B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72B80" w:rsidRDefault="00C72B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C141094" w:rsidR="00C72B80" w:rsidRDefault="00C72B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6B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6B0D">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A6443" w14:textId="77777777" w:rsidR="000669DA" w:rsidRDefault="000669DA">
      <w:r>
        <w:separator/>
      </w:r>
    </w:p>
  </w:footnote>
  <w:footnote w:type="continuationSeparator" w:id="0">
    <w:p w14:paraId="65781BC6" w14:textId="77777777" w:rsidR="000669DA" w:rsidRDefault="000669DA">
      <w:r>
        <w:continuationSeparator/>
      </w:r>
    </w:p>
  </w:footnote>
  <w:footnote w:type="continuationNotice" w:id="1">
    <w:p w14:paraId="49962D33" w14:textId="77777777" w:rsidR="000669DA" w:rsidRDefault="00066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C72B80" w:rsidRDefault="00C72B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6pt;height:15.6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13"/>
  </w:num>
  <w:num w:numId="5">
    <w:abstractNumId w:val="5"/>
  </w:num>
  <w:num w:numId="6">
    <w:abstractNumId w:val="10"/>
  </w:num>
  <w:num w:numId="7">
    <w:abstractNumId w:val="8"/>
  </w:num>
  <w:num w:numId="8">
    <w:abstractNumId w:val="12"/>
  </w:num>
  <w:num w:numId="9">
    <w:abstractNumId w:val="4"/>
  </w:num>
  <w:num w:numId="10">
    <w:abstractNumId w:val="17"/>
  </w:num>
  <w:num w:numId="11">
    <w:abstractNumId w:val="3"/>
  </w:num>
  <w:num w:numId="12">
    <w:abstractNumId w:val="14"/>
  </w:num>
  <w:num w:numId="13">
    <w:abstractNumId w:val="11"/>
  </w:num>
  <w:num w:numId="14">
    <w:abstractNumId w:val="7"/>
  </w:num>
  <w:num w:numId="15">
    <w:abstractNumId w:val="6"/>
  </w:num>
  <w:num w:numId="16">
    <w:abstractNumId w:val="2"/>
  </w:num>
  <w:num w:numId="1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B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HR33RHYHUWRF-4-4996</_dlc_DocId>
    <_dlc_DocIdUrl xmlns="c06861ca-3f08-4d07-bff7-bb15bac121f4">
      <Url>https://projects.qualcomm.com/sites/pentari/_layouts/15/DocIdRedir.aspx?ID=HR33RHYHUWRF-4-4996</Url>
      <Description>HR33RHYHUWRF-4-4996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purl.org/dc/dcmitype/"/>
    <ds:schemaRef ds:uri="c06861ca-3f08-4d07-bff7-bb15bac121f4"/>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202273-2963-4DDB-B6F3-C2BF9A94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2017-06-17T05:10:00Z</dcterms:created>
  <dcterms:modified xsi:type="dcterms:W3CDTF">2017-06-17T05:10:00Z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0d70d359-2a25-4264-9f89-8be899a6ddd1</vt:lpwstr>
  </property>
  <property fmtid="{D5CDD505-2E9C-101B-9397-08002B2CF9AE}" pid="10" name="_ReviewingToolsShownOnce">
    <vt:lpwstr/>
  </property>
</Properties>
</file>